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400847</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 xml:space="preserve">Athens, GR, </w:t>
      </w:r>
      <w:r>
        <w:rPr>
          <w:rFonts w:ascii="Arial" w:hAnsi="Arial" w:eastAsia="宋体" w:cs="Arial"/>
          <w:b/>
          <w:sz w:val="24"/>
          <w:szCs w:val="24"/>
          <w:lang w:eastAsia="zh-CN"/>
        </w:rPr>
        <w:t>26 Feb – 01 Mar</w:t>
      </w:r>
      <w:r>
        <w:rPr>
          <w:rFonts w:hint="eastAsia" w:ascii="Arial" w:hAnsi="Arial" w:eastAsia="宋体" w:cs="Arial"/>
          <w:b/>
          <w:highlight w:val="none"/>
          <w:lang w:val="en-US" w:eastAsia="zh-CN"/>
        </w:rPr>
        <w:t>, 2024</w:t>
      </w:r>
    </w:p>
    <w:bookmarkEnd w:id="1"/>
    <w:p>
      <w:pPr>
        <w:tabs>
          <w:tab w:val="left" w:pos="3106"/>
          <w:tab w:val="center" w:pos="4536"/>
          <w:tab w:val="right" w:pos="9072"/>
        </w:tabs>
        <w:jc w:val="both"/>
        <w:rPr>
          <w:rFonts w:ascii="Arial" w:hAnsi="Arial" w:cs="Arial"/>
          <w:b/>
          <w:bCs/>
          <w:highlight w:val="yellow"/>
        </w:rPr>
      </w:pPr>
    </w:p>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w:t>
      </w:r>
      <w:r>
        <w:rPr>
          <w:b/>
          <w:sz w:val="22"/>
          <w:highlight w:val="none"/>
        </w:rPr>
        <w:tab/>
      </w:r>
      <w:r>
        <w:rPr>
          <w:rFonts w:hint="eastAsia"/>
          <w:sz w:val="22"/>
          <w:highlight w:val="none"/>
          <w:lang w:val="en-US" w:eastAsia="zh-CN"/>
        </w:rPr>
        <w:t>8</w:t>
      </w:r>
      <w:r>
        <w:rPr>
          <w:sz w:val="22"/>
          <w:highlight w:val="none"/>
        </w:rPr>
        <w:t>.</w:t>
      </w:r>
      <w:r>
        <w:rPr>
          <w:rFonts w:hint="eastAsia"/>
          <w:sz w:val="22"/>
          <w:highlight w:val="none"/>
          <w:lang w:val="en-US" w:eastAsia="zh-CN"/>
        </w:rPr>
        <w:t>26</w:t>
      </w:r>
      <w:r>
        <w:rPr>
          <w:sz w:val="22"/>
          <w:highlight w:val="none"/>
        </w:rPr>
        <w:t>.</w:t>
      </w:r>
      <w:r>
        <w:rPr>
          <w:rFonts w:hint="eastAsia"/>
          <w:sz w:val="22"/>
          <w:highlight w:val="none"/>
          <w:lang w:val="en-US" w:eastAsia="zh-CN"/>
        </w:rPr>
        <w:t>2.2</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rFonts w:hint="default"/>
          <w:sz w:val="22"/>
          <w:lang w:val="en-US"/>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w:t>
      </w:r>
      <w:bookmarkEnd w:id="3"/>
      <w:r>
        <w:rPr>
          <w:rFonts w:hint="eastAsia"/>
          <w:sz w:val="22"/>
        </w:rPr>
        <w:t>(Netw_Energy_NR-Core)</w:t>
      </w:r>
      <w:r>
        <w:rPr>
          <w:rFonts w:hint="eastAsia"/>
          <w:sz w:val="22"/>
          <w:lang w:val="en-US" w:eastAsia="zh-CN"/>
        </w:rPr>
        <w:t xml:space="preserve"> </w:t>
      </w:r>
      <w:r>
        <w:rPr>
          <w:rFonts w:hint="eastAsia"/>
          <w:sz w:val="22"/>
        </w:rPr>
        <w:t>Discussion on</w:t>
      </w:r>
      <w:r>
        <w:rPr>
          <w:rFonts w:hint="eastAsia"/>
          <w:sz w:val="22"/>
          <w:lang w:val="en-US" w:eastAsia="zh-CN"/>
        </w:rPr>
        <w:t xml:space="preserve"> </w:t>
      </w:r>
      <w:r>
        <w:rPr>
          <w:rFonts w:hint="eastAsia"/>
          <w:sz w:val="22"/>
        </w:rPr>
        <w:t>SSB-less SCell operation</w:t>
      </w:r>
      <w:r>
        <w:rPr>
          <w:rFonts w:hint="eastAsia"/>
          <w:sz w:val="22"/>
          <w:lang w:val="en-US" w:eastAsia="zh-CN"/>
        </w:rPr>
        <w:t xml:space="preserve"> core maintenance for NES</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rFonts w:hint="eastAsia"/>
          <w:sz w:val="20"/>
          <w:szCs w:val="20"/>
          <w:lang w:val="en-US" w:eastAsia="zh-CN"/>
        </w:rPr>
      </w:pPr>
      <w:r>
        <w:rPr>
          <w:sz w:val="20"/>
          <w:szCs w:val="20"/>
        </w:rPr>
        <w:t xml:space="preserve">In last meeting, </w:t>
      </w:r>
      <w:r>
        <w:rPr>
          <w:rFonts w:hint="eastAsia"/>
          <w:sz w:val="20"/>
          <w:szCs w:val="20"/>
          <w:lang w:val="en-US" w:eastAsia="zh-CN"/>
        </w:rPr>
        <w:t>RAN4 has closed the core part for SSB-less SCell operation. The WF has been approved [1]. I</w:t>
      </w:r>
      <w:r>
        <w:rPr>
          <w:sz w:val="20"/>
          <w:szCs w:val="20"/>
        </w:rPr>
        <w:t xml:space="preserve">n this contribution, we </w:t>
      </w:r>
      <w:r>
        <w:rPr>
          <w:rFonts w:hint="eastAsia"/>
          <w:sz w:val="20"/>
          <w:szCs w:val="20"/>
          <w:lang w:val="en-US" w:eastAsia="zh-CN"/>
        </w:rPr>
        <w:t>focus on some FFS maintenance issues and UE capability.</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eastAsia="ko-KR"/>
        </w:rPr>
      </w:pPr>
      <w:bookmarkStart w:id="6" w:name="_Hlk70326378"/>
      <w:bookmarkStart w:id="7" w:name="OLE_LINK1"/>
      <w:bookmarkStart w:id="8" w:name="OLE_LINK2"/>
      <w:r>
        <w:rPr>
          <w:rFonts w:ascii="Times New Roman" w:hAnsi="Times New Roman"/>
          <w:b w:val="0"/>
          <w:bCs w:val="0"/>
          <w:kern w:val="0"/>
          <w:sz w:val="36"/>
          <w:szCs w:val="36"/>
          <w:lang w:val="en-GB"/>
        </w:rPr>
        <w:t>D</w:t>
      </w:r>
      <w:r>
        <w:rPr>
          <w:rFonts w:hint="eastAsia" w:ascii="Times New Roman" w:hAnsi="Times New Roman"/>
          <w:b w:val="0"/>
          <w:bCs w:val="0"/>
          <w:kern w:val="0"/>
          <w:sz w:val="36"/>
          <w:szCs w:val="36"/>
          <w:lang w:val="en-GB"/>
        </w:rPr>
        <w:t>iscussion</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 xml:space="preserve">Issue 1-3-1: By default reference cell when the reference cell indication is not provided. </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 xml:space="preserve">Agreement: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en-US"/>
        </w:rPr>
      </w:pPr>
      <w:r>
        <w:rPr>
          <w:rFonts w:eastAsia="宋体"/>
          <w:i/>
          <w:iCs/>
          <w:sz w:val="20"/>
          <w:szCs w:val="24"/>
          <w:lang w:val="en-GB" w:eastAsia="en-US"/>
        </w:rPr>
        <w:t>For the case of one active QCLtypeC source cell, QCLtypeC source cell shall be the reference cell if the Rel-18 network indication is not provided.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60"/>
        <w:ind w:left="360" w:leftChars="0" w:firstLine="416" w:firstLineChars="0"/>
        <w:textAlignment w:val="baseline"/>
        <w:rPr>
          <w:rFonts w:eastAsia="宋体"/>
          <w:i/>
          <w:iCs/>
          <w:sz w:val="20"/>
          <w:szCs w:val="24"/>
          <w:lang w:val="en-GB" w:eastAsia="zh-CN"/>
        </w:rPr>
      </w:pPr>
      <w:r>
        <w:rPr>
          <w:rFonts w:eastAsia="宋体"/>
          <w:i/>
          <w:iCs/>
          <w:sz w:val="20"/>
          <w:szCs w:val="24"/>
          <w:lang w:val="en-GB" w:eastAsia="zh-CN"/>
        </w:rPr>
        <w:t>Under the following contion</w:t>
      </w:r>
      <w:r>
        <w:rPr>
          <w:rFonts w:hint="eastAsia" w:eastAsia="宋体"/>
          <w:i/>
          <w:iCs/>
          <w:sz w:val="20"/>
          <w:szCs w:val="24"/>
          <w:lang w:val="en-GB" w:eastAsia="zh-CN"/>
        </w:rPr>
        <w:t>:</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RS of SCell without SSB is QCL-A with TRS of the SCell without SSB, and the TRS(s) of the SCell is (are) further QCL-TypeC with SSB(s) of an inter-band active serving cell, and the inter-band active serving cell shall be same as the reference cell.</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en-US"/>
        </w:rPr>
      </w:pPr>
      <w:r>
        <w:rPr>
          <w:rFonts w:eastAsia="宋体"/>
          <w:i/>
          <w:iCs/>
          <w:sz w:val="20"/>
          <w:szCs w:val="24"/>
          <w:lang w:val="en-GB" w:eastAsia="en-US"/>
        </w:rPr>
        <w:t>For the case of more than one QCLtypeC source cells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 xml:space="preserve">Option 1: UE is not expected to handle the scenario that: 1) If there are more than one QCL source cells and 2) the Rel-18 network indication is not provided. </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Option 2: up to UE to decide</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 xml:space="preserve">Option 3: No requirement is applied for the case of more than one QCLtypeC source cells and without Rel-18 network indication in Rel-18.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en-US"/>
        </w:rPr>
      </w:pPr>
      <w:r>
        <w:rPr>
          <w:rFonts w:eastAsia="宋体"/>
          <w:i/>
          <w:iCs/>
          <w:sz w:val="20"/>
          <w:szCs w:val="24"/>
          <w:lang w:val="en-GB" w:eastAsia="en-US"/>
        </w:rPr>
        <w:t xml:space="preserve">Other option is not precluded. </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After the discussion in RAN4#109, for the case of more than one QCLtypeC source cells and without Rel-18 network indication, how to determine the reference cell is still FFS.</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our view, such case is quite corner in real network. Therefore, we think Option 3 can be the solution.</w:t>
      </w:r>
    </w:p>
    <w:p>
      <w:pPr>
        <w:overflowPunct w:val="0"/>
        <w:autoSpaceDE w:val="0"/>
        <w:autoSpaceDN w:val="0"/>
        <w:adjustRightInd w:val="0"/>
        <w:spacing w:after="120"/>
        <w:jc w:val="both"/>
        <w:rPr>
          <w:rFonts w:hint="eastAsia"/>
          <w:b/>
          <w:bCs/>
          <w:i/>
          <w:iCs/>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No requirement is applied for the case of more than one QCLtypeC source cells and without Rel-18 network indication in Rel-18</w:t>
      </w:r>
      <w:r>
        <w:rPr>
          <w:rFonts w:hint="eastAsia"/>
          <w:b/>
          <w:bCs/>
          <w:i/>
          <w:iCs/>
          <w:sz w:val="20"/>
          <w:szCs w:val="20"/>
          <w:lang w:val="en-US" w:eastAsia="zh-CN"/>
        </w:rPr>
        <w:t>.</w:t>
      </w:r>
    </w:p>
    <w:p>
      <w:pPr>
        <w:overflowPunct w:val="0"/>
        <w:autoSpaceDE w:val="0"/>
        <w:autoSpaceDN w:val="0"/>
        <w:adjustRightInd w:val="0"/>
        <w:spacing w:after="120"/>
        <w:rPr>
          <w:rFonts w:hint="eastAsia"/>
          <w:b/>
          <w:bCs/>
          <w:i/>
          <w:iCs/>
          <w:sz w:val="20"/>
          <w:szCs w:val="20"/>
          <w:lang w:val="en-GB"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1-2-1: SCell activation requirements</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 xml:space="preserve">Agreement: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en-US"/>
        </w:rPr>
      </w:pPr>
      <w:r>
        <w:rPr>
          <w:rFonts w:eastAsia="宋体"/>
          <w:i/>
          <w:iCs/>
          <w:sz w:val="20"/>
          <w:szCs w:val="24"/>
          <w:lang w:val="en-GB" w:eastAsia="en-US"/>
        </w:rPr>
        <w:t>Define both TRS and A-TRS based SCell activation requirements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For TRS based Scell activation, T</w:t>
      </w:r>
      <w:r>
        <w:rPr>
          <w:rFonts w:eastAsia="宋体"/>
          <w:i/>
          <w:iCs/>
          <w:sz w:val="20"/>
          <w:szCs w:val="24"/>
          <w:vertAlign w:val="subscript"/>
          <w:lang w:val="en-GB" w:eastAsia="en-US"/>
        </w:rPr>
        <w:t>activation_time</w:t>
      </w:r>
      <w:r>
        <w:rPr>
          <w:rFonts w:hint="eastAsia" w:eastAsia="宋体"/>
          <w:i/>
          <w:iCs/>
          <w:sz w:val="20"/>
          <w:szCs w:val="24"/>
          <w:lang w:val="en-GB" w:eastAsia="en-US"/>
        </w:rPr>
        <w:t xml:space="preserve"> =</w:t>
      </w:r>
      <w:r>
        <w:rPr>
          <w:rFonts w:eastAsia="宋体"/>
          <w:i/>
          <w:iCs/>
          <w:sz w:val="20"/>
          <w:szCs w:val="24"/>
          <w:lang w:val="en-GB" w:eastAsia="en-US"/>
        </w:rPr>
        <w:t xml:space="preserve"> T</w:t>
      </w:r>
      <w:r>
        <w:rPr>
          <w:rFonts w:eastAsia="宋体"/>
          <w:i/>
          <w:iCs/>
          <w:sz w:val="20"/>
          <w:szCs w:val="24"/>
          <w:vertAlign w:val="subscript"/>
          <w:lang w:val="en-GB" w:eastAsia="en-US"/>
        </w:rPr>
        <w:t xml:space="preserve">first_TRS </w:t>
      </w:r>
      <w:r>
        <w:rPr>
          <w:rFonts w:eastAsia="宋体"/>
          <w:i/>
          <w:iCs/>
          <w:sz w:val="20"/>
          <w:szCs w:val="24"/>
          <w:lang w:val="en-GB" w:eastAsia="en-US"/>
        </w:rPr>
        <w:t>+ T</w:t>
      </w:r>
      <w:r>
        <w:rPr>
          <w:rFonts w:eastAsia="宋体"/>
          <w:i/>
          <w:iCs/>
          <w:sz w:val="20"/>
          <w:szCs w:val="24"/>
          <w:vertAlign w:val="subscript"/>
          <w:lang w:val="en-GB" w:eastAsia="en-US"/>
        </w:rPr>
        <w:t>TRS</w:t>
      </w:r>
      <w:r>
        <w:rPr>
          <w:rFonts w:eastAsia="宋体"/>
          <w:i/>
          <w:iCs/>
          <w:sz w:val="20"/>
          <w:szCs w:val="24"/>
          <w:lang w:val="en-GB" w:eastAsia="en-US"/>
        </w:rPr>
        <w:t xml:space="preserve"> + [3 or 5] ms;</w:t>
      </w:r>
    </w:p>
    <w:p>
      <w:pPr>
        <w:keepNext w:val="0"/>
        <w:keepLines w:val="0"/>
        <w:pageBreakBefore w:val="0"/>
        <w:widowControl/>
        <w:numPr>
          <w:ilvl w:val="2"/>
          <w:numId w:val="4"/>
        </w:numPr>
        <w:kinsoku/>
        <w:wordWrap/>
        <w:overflowPunct w:val="0"/>
        <w:topLinePunct w:val="0"/>
        <w:autoSpaceDE w:val="0"/>
        <w:autoSpaceDN w:val="0"/>
        <w:bidi w:val="0"/>
        <w:adjustRightInd w:val="0"/>
        <w:snapToGrid/>
        <w:spacing w:after="60"/>
        <w:ind w:left="2160" w:leftChars="0" w:hanging="360" w:firstLineChars="0"/>
        <w:textAlignment w:val="baseline"/>
        <w:rPr>
          <w:rFonts w:eastAsia="宋体"/>
          <w:i/>
          <w:iCs/>
          <w:sz w:val="20"/>
          <w:szCs w:val="24"/>
          <w:lang w:val="en-GB" w:eastAsia="en-US"/>
        </w:rPr>
      </w:pPr>
      <w:r>
        <w:rPr>
          <w:rFonts w:eastAsia="宋体"/>
          <w:i/>
          <w:iCs/>
          <w:sz w:val="20"/>
          <w:szCs w:val="24"/>
          <w:lang w:val="en-GB" w:eastAsia="en-US"/>
        </w:rPr>
        <w:t>T</w:t>
      </w:r>
      <w:r>
        <w:rPr>
          <w:rFonts w:eastAsia="宋体"/>
          <w:i/>
          <w:iCs/>
          <w:sz w:val="20"/>
          <w:szCs w:val="24"/>
          <w:vertAlign w:val="subscript"/>
          <w:lang w:val="en-GB" w:eastAsia="en-US"/>
        </w:rPr>
        <w:t>TRS</w:t>
      </w:r>
      <w:r>
        <w:rPr>
          <w:rFonts w:eastAsia="宋体"/>
          <w:i/>
          <w:iCs/>
          <w:sz w:val="20"/>
          <w:szCs w:val="24"/>
          <w:lang w:val="en-GB" w:eastAsia="en-US"/>
        </w:rPr>
        <w:t xml:space="preserve"> is periodicity of the TRS.</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en-US"/>
        </w:rPr>
      </w:pPr>
      <w:r>
        <w:rPr>
          <w:rFonts w:eastAsia="宋体"/>
          <w:i/>
          <w:iCs/>
          <w:sz w:val="20"/>
          <w:szCs w:val="24"/>
          <w:lang w:val="en-GB" w:eastAsia="en-US"/>
        </w:rPr>
        <w:t>For A-TRS based Scell activation, T</w:t>
      </w:r>
      <w:r>
        <w:rPr>
          <w:rFonts w:eastAsia="宋体"/>
          <w:i/>
          <w:iCs/>
          <w:sz w:val="20"/>
          <w:szCs w:val="24"/>
          <w:vertAlign w:val="subscript"/>
          <w:lang w:val="en-GB" w:eastAsia="en-US"/>
        </w:rPr>
        <w:t>activation_time</w:t>
      </w:r>
      <w:r>
        <w:rPr>
          <w:rFonts w:hint="eastAsia" w:eastAsia="宋体"/>
          <w:i/>
          <w:iCs/>
          <w:sz w:val="20"/>
          <w:szCs w:val="24"/>
          <w:lang w:val="en-GB" w:eastAsia="en-US"/>
        </w:rPr>
        <w:t xml:space="preserve"> =</w:t>
      </w:r>
      <w:r>
        <w:rPr>
          <w:rFonts w:eastAsia="宋体"/>
          <w:i/>
          <w:iCs/>
          <w:sz w:val="20"/>
          <w:szCs w:val="24"/>
          <w:lang w:val="en-GB" w:eastAsia="en-US"/>
        </w:rPr>
        <w:t xml:space="preserve"> T</w:t>
      </w:r>
      <w:r>
        <w:rPr>
          <w:rFonts w:eastAsia="宋体"/>
          <w:i/>
          <w:iCs/>
          <w:sz w:val="20"/>
          <w:szCs w:val="24"/>
          <w:vertAlign w:val="subscript"/>
          <w:lang w:val="en-GB" w:eastAsia="en-US"/>
        </w:rPr>
        <w:t>first_ATRS</w:t>
      </w:r>
      <w:r>
        <w:rPr>
          <w:rFonts w:eastAsia="宋体"/>
          <w:i/>
          <w:iCs/>
          <w:sz w:val="20"/>
          <w:szCs w:val="24"/>
          <w:lang w:val="en-GB" w:eastAsia="en-US"/>
        </w:rPr>
        <w:t>+T</w:t>
      </w:r>
      <w:r>
        <w:rPr>
          <w:rFonts w:eastAsia="宋体"/>
          <w:i/>
          <w:iCs/>
          <w:sz w:val="20"/>
          <w:szCs w:val="24"/>
          <w:vertAlign w:val="subscript"/>
          <w:lang w:val="en-GB" w:eastAsia="en-US"/>
        </w:rPr>
        <w:t>gap</w:t>
      </w:r>
      <w:r>
        <w:rPr>
          <w:rFonts w:eastAsia="宋体"/>
          <w:i/>
          <w:iCs/>
          <w:sz w:val="20"/>
          <w:szCs w:val="24"/>
          <w:lang w:val="en-GB" w:eastAsia="en-US"/>
        </w:rPr>
        <w:t xml:space="preserve"> + T</w:t>
      </w:r>
      <w:r>
        <w:rPr>
          <w:rFonts w:eastAsia="宋体"/>
          <w:i/>
          <w:iCs/>
          <w:sz w:val="20"/>
          <w:szCs w:val="24"/>
          <w:vertAlign w:val="subscript"/>
          <w:lang w:val="en-GB" w:eastAsia="en-US"/>
        </w:rPr>
        <w:t>ATRS</w:t>
      </w:r>
      <w:r>
        <w:rPr>
          <w:rFonts w:eastAsia="宋体"/>
          <w:i/>
          <w:iCs/>
          <w:sz w:val="20"/>
          <w:szCs w:val="24"/>
          <w:lang w:val="en-GB" w:eastAsia="en-US"/>
        </w:rPr>
        <w:t xml:space="preserve"> +[3 or 5] ms;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hint="eastAsia" w:eastAsia="宋体"/>
          <w:i/>
          <w:iCs/>
          <w:sz w:val="20"/>
          <w:szCs w:val="24"/>
          <w:lang w:val="en-GB" w:eastAsia="ko-KR"/>
        </w:rPr>
      </w:pPr>
      <w:r>
        <w:rPr>
          <w:rFonts w:eastAsia="宋体"/>
          <w:i/>
          <w:iCs/>
          <w:sz w:val="20"/>
          <w:szCs w:val="24"/>
          <w:lang w:val="en-GB" w:eastAsia="en-US"/>
        </w:rPr>
        <w:t>The applicable conditions are discussed in sub-topic 1-1.</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Based on the past discussions from LTE to NR, UE may need 3ms for MAC CE processing and 2ms for SSB post-processing. Even though we use TRS instead of SSB, the TRS post-processing time is still needed to let UE finish the fine sync, 2ms can be the starting point. Therefore, 5ms in total on processing time can be considered.</w:t>
      </w:r>
    </w:p>
    <w:p>
      <w:pPr>
        <w:overflowPunct w:val="0"/>
        <w:autoSpaceDE w:val="0"/>
        <w:autoSpaceDN w:val="0"/>
        <w:adjustRightInd w:val="0"/>
        <w:spacing w:after="120"/>
        <w:rPr>
          <w:rFonts w:hint="eastAsia"/>
          <w:b/>
          <w:bCs/>
          <w:i/>
          <w:iCs/>
          <w:sz w:val="20"/>
          <w:szCs w:val="20"/>
          <w:lang w:val="en-GB" w:eastAsia="ko-KR"/>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The total processing time is 5ms.</w:t>
      </w:r>
    </w:p>
    <w:p>
      <w:pPr>
        <w:overflowPunct w:val="0"/>
        <w:autoSpaceDE w:val="0"/>
        <w:autoSpaceDN w:val="0"/>
        <w:adjustRightInd w:val="0"/>
        <w:spacing w:after="120"/>
        <w:rPr>
          <w:rFonts w:hint="eastAsia"/>
          <w:b/>
          <w:bCs/>
          <w:i/>
          <w:iCs/>
          <w:sz w:val="20"/>
          <w:szCs w:val="20"/>
          <w:lang w:val="en-GB"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1-3-5: Neighbor cells on carrier of SSB-less SCell.</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Can be FFS in maintenance if needed.</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If neighbor cells on carrier of SSB-less SCell have SSB transmission, the measurement for those neighbor cells shall be treated as intra-frequency measurement as long as the SSBs from those neighbor cells can be contained in the active BWP of SSB-less SCell. (Apple)</w:t>
      </w:r>
    </w:p>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In the current spec, the definition of intra-frequency measurement is as follows: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28" w:type="dxa"/>
          </w:tcPr>
          <w:p>
            <w:pPr>
              <w:keepNext w:val="0"/>
              <w:keepLines w:val="0"/>
              <w:pageBreakBefore w:val="0"/>
              <w:widowControl/>
              <w:kinsoku/>
              <w:wordWrap/>
              <w:overflowPunct/>
              <w:topLinePunct w:val="0"/>
              <w:autoSpaceDE/>
              <w:autoSpaceDN/>
              <w:bidi w:val="0"/>
              <w:adjustRightInd/>
              <w:snapToGrid/>
              <w:spacing w:after="120"/>
              <w:textAlignment w:val="auto"/>
              <w:rPr>
                <w:rFonts w:hint="default"/>
                <w:b/>
                <w:bCs/>
                <w:i/>
                <w:iCs/>
                <w:sz w:val="20"/>
                <w:szCs w:val="20"/>
                <w:vertAlign w:val="baseline"/>
                <w:lang w:val="en-US" w:eastAsia="zh-CN"/>
              </w:rPr>
            </w:pPr>
            <w:r>
              <w:rPr>
                <w:rFonts w:hint="eastAsia" w:cs="Times New Roman"/>
                <w:i/>
                <w:iCs/>
                <w:sz w:val="20"/>
                <w:szCs w:val="20"/>
                <w:lang w:val="en-US" w:eastAsia="zh-CN"/>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pPr>
        <w:overflowPunct w:val="0"/>
        <w:autoSpaceDE w:val="0"/>
        <w:autoSpaceDN w:val="0"/>
        <w:adjustRightInd w:val="0"/>
        <w:spacing w:after="120"/>
        <w:jc w:val="both"/>
        <w:rPr>
          <w:rFonts w:hint="eastAsia" w:cs="Times New Roman"/>
          <w:sz w:val="20"/>
          <w:szCs w:val="20"/>
          <w:lang w:val="en-US" w:eastAsia="zh-CN"/>
        </w:rPr>
      </w:pPr>
      <w:r>
        <w:rPr>
          <w:rFonts w:hint="eastAsia" w:cs="Times New Roman"/>
          <w:sz w:val="20"/>
          <w:szCs w:val="20"/>
          <w:lang w:val="en-US" w:eastAsia="zh-CN"/>
        </w:rPr>
        <w:t xml:space="preserve">For SSB-less SCell, network will not provide the SSB and related </w:t>
      </w:r>
      <w:r>
        <w:rPr>
          <w:rFonts w:hint="eastAsia" w:cs="Times New Roman"/>
          <w:i/>
          <w:iCs/>
          <w:sz w:val="20"/>
          <w:szCs w:val="20"/>
          <w:lang w:val="en-US" w:eastAsia="zh-CN"/>
        </w:rPr>
        <w:t>absoluteFrequencySSB</w:t>
      </w:r>
      <w:r>
        <w:rPr>
          <w:rFonts w:hint="eastAsia" w:cs="Times New Roman"/>
          <w:sz w:val="20"/>
          <w:szCs w:val="20"/>
          <w:lang w:val="en-US" w:eastAsia="zh-CN"/>
        </w:rPr>
        <w:t xml:space="preserve"> information, the legacy definition of intra/inter frequency measurement is not valid. </w:t>
      </w:r>
    </w:p>
    <w:p>
      <w:pPr>
        <w:overflowPunct w:val="0"/>
        <w:autoSpaceDE w:val="0"/>
        <w:autoSpaceDN w:val="0"/>
        <w:adjustRightInd w:val="0"/>
        <w:spacing w:after="120"/>
        <w:jc w:val="both"/>
        <w:rPr>
          <w:rFonts w:hint="default" w:cs="Times New Roman"/>
          <w:sz w:val="20"/>
          <w:szCs w:val="20"/>
          <w:lang w:val="en-US" w:eastAsia="zh-CN"/>
        </w:rPr>
      </w:pPr>
      <w:r>
        <w:rPr>
          <w:rFonts w:hint="eastAsia" w:cs="Times New Roman"/>
          <w:sz w:val="20"/>
          <w:szCs w:val="20"/>
          <w:lang w:val="en-US" w:eastAsia="zh-CN"/>
        </w:rPr>
        <w:t>For the case of the neighbour cell is on the carrier of SSB-less SCell and the SSB from neighbour cell can be contained in the active BWP of SSB-less SCell, due to UE is not needed to monitor the SSB from SSB-less SCell, we think the measurement for such neighbour cell can be treated as intra-frequency measurement.</w:t>
      </w:r>
    </w:p>
    <w:p>
      <w:pPr>
        <w:overflowPunct w:val="0"/>
        <w:autoSpaceDE w:val="0"/>
        <w:autoSpaceDN w:val="0"/>
        <w:adjustRightInd w:val="0"/>
        <w:spacing w:after="120"/>
        <w:rPr>
          <w:rFonts w:hint="eastAsia"/>
          <w:b/>
          <w:bCs/>
          <w:i/>
          <w:iCs/>
          <w:sz w:val="20"/>
          <w:szCs w:val="20"/>
          <w:lang w:val="en-GB" w:eastAsia="ko-KR"/>
        </w:rPr>
      </w:pPr>
      <w:r>
        <w:rPr>
          <w:rFonts w:hint="eastAsia"/>
          <w:b/>
          <w:bCs/>
          <w:i/>
          <w:iCs/>
          <w:sz w:val="20"/>
          <w:szCs w:val="20"/>
          <w:lang w:val="en-US" w:eastAsia="zh-CN"/>
        </w:rPr>
        <w:t>Proposal 3</w:t>
      </w:r>
      <w:r>
        <w:rPr>
          <w:b/>
          <w:bCs/>
          <w:i/>
          <w:iCs/>
          <w:sz w:val="20"/>
          <w:szCs w:val="20"/>
        </w:rPr>
        <w:t xml:space="preserve">: </w:t>
      </w:r>
      <w:r>
        <w:rPr>
          <w:rFonts w:hint="eastAsia"/>
          <w:b/>
          <w:bCs/>
          <w:i/>
          <w:iCs/>
          <w:sz w:val="20"/>
          <w:szCs w:val="20"/>
        </w:rPr>
        <w:t>For the case of the neighbour cell is on the carrier of SSB-less SCell and the SSB from neighbour cell can be contained in the active BWP of SSB-less SCell, the measurement for such neighbour cell can be treated as intra-frequency measurement.</w:t>
      </w:r>
    </w:p>
    <w:p>
      <w:pPr>
        <w:overflowPunct w:val="0"/>
        <w:autoSpaceDE w:val="0"/>
        <w:autoSpaceDN w:val="0"/>
        <w:adjustRightInd w:val="0"/>
        <w:spacing w:after="120"/>
        <w:rPr>
          <w:rFonts w:hint="eastAsia"/>
          <w:b/>
          <w:bCs/>
          <w:i/>
          <w:iCs/>
          <w:sz w:val="20"/>
          <w:szCs w:val="20"/>
          <w:lang w:val="en-GB"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1-4-1: UE capability indication for inter-band SSB-less</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 xml:space="preserve">Option 1: Introduce per BC UE capability. </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Introduce per FS UE capability.</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 xml:space="preserve">Option 3: Introduce per FSPC UE capability. </w:t>
      </w:r>
    </w:p>
    <w:p>
      <w:pPr>
        <w:overflowPunct w:val="0"/>
        <w:autoSpaceDE w:val="0"/>
        <w:autoSpaceDN w:val="0"/>
        <w:adjustRightInd w:val="0"/>
        <w:spacing w:after="120"/>
        <w:jc w:val="both"/>
        <w:rPr>
          <w:rFonts w:hint="eastAsia"/>
          <w:sz w:val="20"/>
          <w:szCs w:val="20"/>
          <w:lang w:val="en-US" w:eastAsia="zh-CN"/>
        </w:rPr>
      </w:pPr>
      <w:r>
        <w:rPr>
          <w:rFonts w:hint="eastAsia" w:cs="Times New Roman"/>
          <w:sz w:val="20"/>
          <w:szCs w:val="20"/>
          <w:lang w:val="en-US" w:eastAsia="zh-CN"/>
        </w:rPr>
        <w:t xml:space="preserve">To support </w:t>
      </w:r>
      <w:r>
        <w:rPr>
          <w:rFonts w:hint="eastAsia"/>
          <w:sz w:val="20"/>
          <w:szCs w:val="20"/>
          <w:lang w:val="en-US" w:eastAsia="zh-CN"/>
        </w:rPr>
        <w:t>inter-band CA SSB-Less SCell, UE should capable of acquiring coarse time/freq sync and AGC information from the reference cell, and performing fine sync and AGC adjustment on the SSB-less SCell. Such UE capability may be various in different band pair. Therefore, we support to define the UE capability per band pair per band combination.</w:t>
      </w:r>
    </w:p>
    <w:p>
      <w:pPr>
        <w:overflowPunct w:val="0"/>
        <w:autoSpaceDE w:val="0"/>
        <w:autoSpaceDN w:val="0"/>
        <w:adjustRightInd w:val="0"/>
        <w:spacing w:after="120"/>
        <w:rPr>
          <w:rFonts w:hint="default"/>
          <w:szCs w:val="24"/>
          <w:lang w:val="en-US" w:eastAsia="zh-CN"/>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lang w:val="en-US" w:eastAsia="zh-CN"/>
        </w:rPr>
        <w:t>Introduce the per band pair per BC UE capability.</w:t>
      </w:r>
    </w:p>
    <w:p>
      <w:pPr>
        <w:rPr>
          <w:szCs w:val="24"/>
          <w:lang w:eastAsia="zh-CN"/>
        </w:rPr>
      </w:pPr>
    </w:p>
    <w:p>
      <w:pPr>
        <w:rPr>
          <w:szCs w:val="24"/>
          <w:lang w:eastAsia="zh-CN"/>
        </w:rPr>
      </w:pPr>
    </w:p>
    <w:p>
      <w:pPr>
        <w:rPr>
          <w:rFonts w:eastAsia="宋体"/>
          <w:b/>
          <w:i/>
          <w:iCs/>
          <w:sz w:val="20"/>
          <w:szCs w:val="20"/>
          <w:u w:val="single"/>
          <w:lang w:val="en-GB" w:eastAsia="ko-KR"/>
        </w:rPr>
      </w:pPr>
      <w:r>
        <w:rPr>
          <w:rFonts w:eastAsia="宋体"/>
          <w:b/>
          <w:i/>
          <w:iCs/>
          <w:sz w:val="20"/>
          <w:szCs w:val="20"/>
          <w:u w:val="single"/>
          <w:lang w:val="en-GB" w:eastAsia="ko-KR"/>
        </w:rPr>
        <w:t>Issue 1-4-2: UE capability indication for A-TRS based inter-band SSB-less SCell activation</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 xml:space="preserve">Option 1: Define a per band UE capability: whether ATRS based inter-band SSB-less SCell activation is supported. </w:t>
      </w:r>
    </w:p>
    <w:p>
      <w:pPr>
        <w:overflowPunct w:val="0"/>
        <w:autoSpaceDE w:val="0"/>
        <w:autoSpaceDN w:val="0"/>
        <w:adjustRightInd w:val="0"/>
        <w:spacing w:after="120"/>
        <w:jc w:val="both"/>
        <w:rPr>
          <w:rFonts w:hint="default"/>
          <w:sz w:val="20"/>
          <w:szCs w:val="20"/>
          <w:lang w:val="en-US" w:eastAsia="zh-CN"/>
        </w:rPr>
      </w:pPr>
      <w:r>
        <w:rPr>
          <w:rFonts w:hint="eastAsia"/>
          <w:sz w:val="20"/>
          <w:szCs w:val="20"/>
          <w:lang w:val="en-US" w:eastAsia="zh-CN"/>
        </w:rPr>
        <w:t>Similar as fast SCell activation, UE may or may not support the A-TRS based inter-band SSB-less SCell activation, a UE capability is needed, the capability type can be per band.</w:t>
      </w:r>
    </w:p>
    <w:p>
      <w:pPr>
        <w:overflowPunct w:val="0"/>
        <w:autoSpaceDE w:val="0"/>
        <w:autoSpaceDN w:val="0"/>
        <w:adjustRightInd w:val="0"/>
        <w:spacing w:after="120"/>
        <w:rPr>
          <w:rFonts w:hint="eastAsia" w:eastAsiaTheme="minorEastAsia"/>
          <w:szCs w:val="24"/>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rPr>
        <w:t>Define a per band UE capability: whether A</w:t>
      </w:r>
      <w:r>
        <w:rPr>
          <w:rFonts w:hint="eastAsia"/>
          <w:b/>
          <w:bCs/>
          <w:i/>
          <w:iCs/>
          <w:sz w:val="20"/>
          <w:szCs w:val="20"/>
          <w:lang w:val="en-US" w:eastAsia="zh-CN"/>
        </w:rPr>
        <w:t>-</w:t>
      </w:r>
      <w:r>
        <w:rPr>
          <w:rFonts w:hint="eastAsia"/>
          <w:b/>
          <w:bCs/>
          <w:i/>
          <w:iCs/>
          <w:sz w:val="20"/>
          <w:szCs w:val="20"/>
        </w:rPr>
        <w:t>TRS based inter-band SSB-less SCell activation is supported</w:t>
      </w:r>
      <w:r>
        <w:rPr>
          <w:rFonts w:hint="eastAsia"/>
          <w:b/>
          <w:bCs/>
          <w:i/>
          <w:iCs/>
          <w:sz w:val="20"/>
          <w:szCs w:val="20"/>
          <w:lang w:val="en-US" w:eastAsia="zh-CN"/>
        </w:rPr>
        <w:t>.</w:t>
      </w:r>
    </w:p>
    <w:p>
      <w:pPr>
        <w:overflowPunct w:val="0"/>
        <w:autoSpaceDE w:val="0"/>
        <w:autoSpaceDN w:val="0"/>
        <w:adjustRightInd w:val="0"/>
        <w:spacing w:after="120"/>
        <w:rPr>
          <w:rFonts w:hint="eastAsia"/>
          <w:b/>
          <w:bCs/>
          <w:i/>
          <w:iCs/>
          <w:sz w:val="20"/>
          <w:szCs w:val="20"/>
          <w:lang w:val="en-GB" w:eastAsia="ko-KR"/>
        </w:rPr>
      </w:pPr>
    </w:p>
    <w:p>
      <w:pPr>
        <w:numPr>
          <w:ilvl w:val="0"/>
          <w:numId w:val="0"/>
        </w:numPr>
        <w:overflowPunct/>
        <w:autoSpaceDE/>
        <w:autoSpaceDN/>
        <w:adjustRightInd/>
        <w:spacing w:after="120"/>
        <w:textAlignment w:val="auto"/>
        <w:rPr>
          <w:rFonts w:hint="default" w:eastAsia="宋体" w:cs="Times New Roman"/>
          <w:sz w:val="20"/>
          <w:szCs w:val="20"/>
          <w:lang w:val="en-US" w:eastAsia="zh-CN" w:bidi="ar-SA"/>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 xml:space="preserve">Based on the discussion above, the following </w:t>
      </w:r>
      <w:bookmarkStart w:id="9" w:name="_GoBack"/>
      <w:bookmarkEnd w:id="9"/>
      <w:r>
        <w:rPr>
          <w:sz w:val="20"/>
          <w:szCs w:val="20"/>
        </w:rPr>
        <w:t xml:space="preserve">proposals are concluded. </w:t>
      </w:r>
      <w:bookmarkEnd w:id="7"/>
      <w:bookmarkEnd w:id="8"/>
    </w:p>
    <w:p>
      <w:pPr>
        <w:overflowPunct w:val="0"/>
        <w:autoSpaceDE w:val="0"/>
        <w:autoSpaceDN w:val="0"/>
        <w:adjustRightInd w:val="0"/>
        <w:spacing w:after="120"/>
        <w:rPr>
          <w:rFonts w:hint="eastAsia"/>
          <w:b/>
          <w:bCs/>
          <w:i/>
          <w:iCs/>
          <w:sz w:val="20"/>
          <w:szCs w:val="20"/>
          <w:lang w:val="en-US" w:eastAsia="zh-CN"/>
        </w:rPr>
      </w:pPr>
      <w:r>
        <w:rPr>
          <w:rFonts w:hint="eastAsia"/>
          <w:b/>
          <w:bCs/>
          <w:i/>
          <w:iCs/>
          <w:sz w:val="20"/>
          <w:szCs w:val="20"/>
          <w:lang w:val="en-US" w:eastAsia="zh-CN"/>
        </w:rPr>
        <w:t>Proposal 1</w:t>
      </w:r>
      <w:r>
        <w:rPr>
          <w:b/>
          <w:bCs/>
          <w:i/>
          <w:iCs/>
          <w:sz w:val="20"/>
          <w:szCs w:val="20"/>
        </w:rPr>
        <w:t xml:space="preserve">: </w:t>
      </w:r>
      <w:r>
        <w:rPr>
          <w:rFonts w:hint="eastAsia"/>
          <w:b/>
          <w:bCs/>
          <w:i/>
          <w:iCs/>
          <w:sz w:val="20"/>
          <w:szCs w:val="20"/>
        </w:rPr>
        <w:t>No requirement is applied for the case of more than one QCLtypeC source cells and without Rel-18 network indication in Rel-18</w:t>
      </w:r>
      <w:r>
        <w:rPr>
          <w:rFonts w:hint="eastAsia"/>
          <w:b/>
          <w:bCs/>
          <w:i/>
          <w:iCs/>
          <w:sz w:val="20"/>
          <w:szCs w:val="20"/>
          <w:lang w:val="en-US" w:eastAsia="zh-CN"/>
        </w:rPr>
        <w:t>.</w:t>
      </w:r>
    </w:p>
    <w:p>
      <w:pPr>
        <w:overflowPunct w:val="0"/>
        <w:autoSpaceDE w:val="0"/>
        <w:autoSpaceDN w:val="0"/>
        <w:adjustRightInd w:val="0"/>
        <w:spacing w:after="120"/>
        <w:rPr>
          <w:rFonts w:hint="eastAsia"/>
          <w:b/>
          <w:bCs/>
          <w:i/>
          <w:iCs/>
          <w:sz w:val="20"/>
          <w:szCs w:val="20"/>
          <w:lang w:val="en-GB" w:eastAsia="ko-KR"/>
        </w:rPr>
      </w:pPr>
      <w:r>
        <w:rPr>
          <w:rFonts w:hint="eastAsia"/>
          <w:b/>
          <w:bCs/>
          <w:i/>
          <w:iCs/>
          <w:sz w:val="20"/>
          <w:szCs w:val="20"/>
          <w:lang w:val="en-US" w:eastAsia="zh-CN"/>
        </w:rPr>
        <w:t>Proposal 2</w:t>
      </w:r>
      <w:r>
        <w:rPr>
          <w:b/>
          <w:bCs/>
          <w:i/>
          <w:iCs/>
          <w:sz w:val="20"/>
          <w:szCs w:val="20"/>
        </w:rPr>
        <w:t xml:space="preserve">: </w:t>
      </w:r>
      <w:r>
        <w:rPr>
          <w:rFonts w:hint="eastAsia"/>
          <w:b/>
          <w:bCs/>
          <w:i/>
          <w:iCs/>
          <w:sz w:val="20"/>
          <w:szCs w:val="20"/>
          <w:lang w:val="en-US" w:eastAsia="zh-CN"/>
        </w:rPr>
        <w:t>The total processing time is 5ms.</w:t>
      </w:r>
    </w:p>
    <w:p>
      <w:pPr>
        <w:overflowPunct w:val="0"/>
        <w:autoSpaceDE w:val="0"/>
        <w:autoSpaceDN w:val="0"/>
        <w:adjustRightInd w:val="0"/>
        <w:spacing w:after="120"/>
        <w:rPr>
          <w:rFonts w:hint="eastAsia"/>
          <w:b/>
          <w:bCs/>
          <w:i/>
          <w:iCs/>
          <w:sz w:val="20"/>
          <w:szCs w:val="20"/>
          <w:lang w:val="en-GB" w:eastAsia="ko-KR"/>
        </w:rPr>
      </w:pPr>
      <w:r>
        <w:rPr>
          <w:rFonts w:hint="eastAsia"/>
          <w:b/>
          <w:bCs/>
          <w:i/>
          <w:iCs/>
          <w:sz w:val="20"/>
          <w:szCs w:val="20"/>
          <w:lang w:val="en-US" w:eastAsia="zh-CN"/>
        </w:rPr>
        <w:t>Proposal 3</w:t>
      </w:r>
      <w:r>
        <w:rPr>
          <w:b/>
          <w:bCs/>
          <w:i/>
          <w:iCs/>
          <w:sz w:val="20"/>
          <w:szCs w:val="20"/>
        </w:rPr>
        <w:t xml:space="preserve">: </w:t>
      </w:r>
      <w:r>
        <w:rPr>
          <w:rFonts w:hint="eastAsia"/>
          <w:b/>
          <w:bCs/>
          <w:i/>
          <w:iCs/>
          <w:sz w:val="20"/>
          <w:szCs w:val="20"/>
        </w:rPr>
        <w:t>For the case of the neighbour cell is on the carrier of SSB-less SCell and the SSB from neighbour cell can be contained in the active BWP of SSB-less SCell, the measurement for such neighbour cell can be treated as intra-frequency measurement.</w:t>
      </w:r>
    </w:p>
    <w:p>
      <w:pPr>
        <w:overflowPunct w:val="0"/>
        <w:autoSpaceDE w:val="0"/>
        <w:autoSpaceDN w:val="0"/>
        <w:adjustRightInd w:val="0"/>
        <w:spacing w:after="120"/>
        <w:rPr>
          <w:rFonts w:hint="default"/>
          <w:szCs w:val="24"/>
          <w:lang w:val="en-US" w:eastAsia="zh-CN"/>
        </w:rPr>
      </w:pPr>
      <w:r>
        <w:rPr>
          <w:rFonts w:hint="eastAsia"/>
          <w:b/>
          <w:bCs/>
          <w:i/>
          <w:iCs/>
          <w:sz w:val="20"/>
          <w:szCs w:val="20"/>
          <w:lang w:val="en-US" w:eastAsia="zh-CN"/>
        </w:rPr>
        <w:t>Proposal 4</w:t>
      </w:r>
      <w:r>
        <w:rPr>
          <w:b/>
          <w:bCs/>
          <w:i/>
          <w:iCs/>
          <w:sz w:val="20"/>
          <w:szCs w:val="20"/>
        </w:rPr>
        <w:t xml:space="preserve">: </w:t>
      </w:r>
      <w:r>
        <w:rPr>
          <w:rFonts w:hint="eastAsia"/>
          <w:b/>
          <w:bCs/>
          <w:i/>
          <w:iCs/>
          <w:sz w:val="20"/>
          <w:szCs w:val="20"/>
          <w:lang w:val="en-US" w:eastAsia="zh-CN"/>
        </w:rPr>
        <w:t>Introduce the per band pair per BC UE capability.</w:t>
      </w:r>
    </w:p>
    <w:p>
      <w:pPr>
        <w:overflowPunct w:val="0"/>
        <w:autoSpaceDE w:val="0"/>
        <w:autoSpaceDN w:val="0"/>
        <w:adjustRightInd w:val="0"/>
        <w:spacing w:after="120"/>
        <w:rPr>
          <w:rFonts w:hint="eastAsia" w:eastAsiaTheme="minorEastAsia"/>
          <w:szCs w:val="24"/>
          <w:lang w:val="en-US" w:eastAsia="zh-CN"/>
        </w:rPr>
      </w:pPr>
      <w:r>
        <w:rPr>
          <w:rFonts w:hint="eastAsia"/>
          <w:b/>
          <w:bCs/>
          <w:i/>
          <w:iCs/>
          <w:sz w:val="20"/>
          <w:szCs w:val="20"/>
          <w:lang w:val="en-US" w:eastAsia="zh-CN"/>
        </w:rPr>
        <w:t>Proposal 5</w:t>
      </w:r>
      <w:r>
        <w:rPr>
          <w:b/>
          <w:bCs/>
          <w:i/>
          <w:iCs/>
          <w:sz w:val="20"/>
          <w:szCs w:val="20"/>
        </w:rPr>
        <w:t xml:space="preserve">: </w:t>
      </w:r>
      <w:r>
        <w:rPr>
          <w:rFonts w:hint="eastAsia"/>
          <w:b/>
          <w:bCs/>
          <w:i/>
          <w:iCs/>
          <w:sz w:val="20"/>
          <w:szCs w:val="20"/>
        </w:rPr>
        <w:t>Define a per band UE capability: whether A</w:t>
      </w:r>
      <w:r>
        <w:rPr>
          <w:rFonts w:hint="eastAsia"/>
          <w:b/>
          <w:bCs/>
          <w:i/>
          <w:iCs/>
          <w:sz w:val="20"/>
          <w:szCs w:val="20"/>
          <w:lang w:val="en-US" w:eastAsia="zh-CN"/>
        </w:rPr>
        <w:t>-</w:t>
      </w:r>
      <w:r>
        <w:rPr>
          <w:rFonts w:hint="eastAsia"/>
          <w:b/>
          <w:bCs/>
          <w:i/>
          <w:iCs/>
          <w:sz w:val="20"/>
          <w:szCs w:val="20"/>
        </w:rPr>
        <w:t>TRS based inter-band SSB-less SCell activation is supported</w:t>
      </w:r>
      <w:r>
        <w:rPr>
          <w:rFonts w:hint="eastAsia"/>
          <w:b/>
          <w:bCs/>
          <w:i/>
          <w:iCs/>
          <w:sz w:val="20"/>
          <w:szCs w:val="20"/>
          <w:lang w:val="en-US" w:eastAsia="zh-CN"/>
        </w:rPr>
        <w:t>.</w:t>
      </w:r>
    </w:p>
    <w:p>
      <w:pPr>
        <w:spacing w:before="60"/>
        <w:jc w:val="both"/>
        <w:rPr>
          <w:sz w:val="20"/>
          <w:szCs w:val="20"/>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eastAsia"/>
          <w:sz w:val="20"/>
          <w:szCs w:val="20"/>
          <w:lang w:val="en-US" w:eastAsia="zh-CN"/>
        </w:rPr>
      </w:pPr>
      <w:r>
        <w:rPr>
          <w:rFonts w:hint="eastAsia"/>
          <w:sz w:val="20"/>
          <w:szCs w:val="20"/>
          <w:lang w:val="en-GB"/>
        </w:rPr>
        <w:t>[</w:t>
      </w:r>
      <w:r>
        <w:rPr>
          <w:sz w:val="20"/>
          <w:szCs w:val="20"/>
          <w:lang w:val="en-GB"/>
        </w:rPr>
        <w:t>1]</w:t>
      </w:r>
      <w:r>
        <w:rPr>
          <w:rFonts w:hint="eastAsia"/>
          <w:sz w:val="20"/>
          <w:szCs w:val="20"/>
          <w:lang w:val="en-US" w:eastAsia="zh-CN"/>
        </w:rPr>
        <w:t xml:space="preserve"> R4-2321652, WF on RRM requirements for NR network energy saving, </w:t>
      </w:r>
      <w:r>
        <w:rPr>
          <w:rFonts w:hint="eastAsia"/>
          <w:sz w:val="20"/>
          <w:szCs w:val="20"/>
          <w:lang w:val="en-GB" w:eastAsia="zh-CN"/>
        </w:rPr>
        <w:t>Huawei, HiSilicon.</w:t>
      </w:r>
    </w:p>
    <w:p>
      <w:pPr>
        <w:rPr>
          <w:rFonts w:hint="default" w:eastAsiaTheme="minorEastAsia"/>
          <w:sz w:val="20"/>
          <w:szCs w:val="20"/>
          <w:lang w:val="en-US" w:eastAsia="zh-CN"/>
        </w:rPr>
      </w:pPr>
      <w:r>
        <w:rPr>
          <w:rFonts w:hint="eastAsia"/>
          <w:sz w:val="20"/>
          <w:szCs w:val="20"/>
          <w:lang w:val="en-US" w:eastAsia="zh-CN"/>
        </w:rPr>
        <w:t xml:space="preserve">[2] R4-2317405, WF on RRM requirements for NR network energy saving, </w:t>
      </w:r>
      <w:r>
        <w:rPr>
          <w:rFonts w:hint="eastAsia"/>
          <w:sz w:val="20"/>
          <w:szCs w:val="20"/>
          <w:lang w:val="en-GB" w:eastAsia="zh-CN"/>
        </w:rPr>
        <w:t>Huawei, HiSilicon.</w:t>
      </w:r>
    </w:p>
    <w:p>
      <w:pPr>
        <w:rPr>
          <w:rFonts w:hint="eastAsia"/>
          <w:sz w:val="20"/>
          <w:szCs w:val="20"/>
          <w:lang w:val="en-GB" w:eastAsia="zh-CN"/>
        </w:rPr>
      </w:pPr>
      <w:r>
        <w:rPr>
          <w:rFonts w:hint="eastAsia"/>
          <w:sz w:val="20"/>
          <w:szCs w:val="20"/>
          <w:lang w:val="en-US" w:eastAsia="zh-CN"/>
        </w:rPr>
        <w:t>[3]</w:t>
      </w:r>
      <w:r>
        <w:rPr>
          <w:sz w:val="20"/>
          <w:szCs w:val="20"/>
          <w:lang w:val="en-GB"/>
        </w:rPr>
        <w:t xml:space="preserve"> R4-</w:t>
      </w:r>
      <w:r>
        <w:rPr>
          <w:rFonts w:hint="eastAsia"/>
          <w:sz w:val="20"/>
          <w:szCs w:val="20"/>
          <w:lang w:val="en-US" w:eastAsia="zh-CN"/>
        </w:rPr>
        <w:t>2314381</w:t>
      </w:r>
      <w:r>
        <w:rPr>
          <w:rFonts w:hint="eastAsia"/>
          <w:sz w:val="20"/>
          <w:szCs w:val="20"/>
          <w:lang w:val="en-GB" w:eastAsia="zh-CN"/>
        </w:rPr>
        <w:t>,</w:t>
      </w:r>
      <w:r>
        <w:rPr>
          <w:rFonts w:hint="eastAsia"/>
          <w:sz w:val="20"/>
          <w:szCs w:val="20"/>
          <w:lang w:val="en-US" w:eastAsia="zh-CN"/>
        </w:rPr>
        <w:t xml:space="preserve"> WF on RRM requirements for NR network energy saving</w:t>
      </w:r>
      <w:r>
        <w:rPr>
          <w:rFonts w:hint="eastAsia"/>
          <w:sz w:val="20"/>
          <w:szCs w:val="20"/>
          <w:lang w:val="en-GB" w:eastAsia="zh-CN"/>
        </w:rPr>
        <w:t>, Huawei, HiSilicon.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CE0"/>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3F16F56"/>
    <w:rsid w:val="0434763B"/>
    <w:rsid w:val="059B2FBB"/>
    <w:rsid w:val="05B66B2B"/>
    <w:rsid w:val="06C938D1"/>
    <w:rsid w:val="06D13BC6"/>
    <w:rsid w:val="0775691E"/>
    <w:rsid w:val="08966482"/>
    <w:rsid w:val="09063CAD"/>
    <w:rsid w:val="091F2183"/>
    <w:rsid w:val="0AC91636"/>
    <w:rsid w:val="0AD74098"/>
    <w:rsid w:val="105C4837"/>
    <w:rsid w:val="12F708E7"/>
    <w:rsid w:val="12FB52D6"/>
    <w:rsid w:val="144F009D"/>
    <w:rsid w:val="15F8258F"/>
    <w:rsid w:val="175519EF"/>
    <w:rsid w:val="198E3F9B"/>
    <w:rsid w:val="19977565"/>
    <w:rsid w:val="1AA908A3"/>
    <w:rsid w:val="1C4140A3"/>
    <w:rsid w:val="1C7E3BD3"/>
    <w:rsid w:val="1D2B280C"/>
    <w:rsid w:val="1D5B4C92"/>
    <w:rsid w:val="1D5F76BA"/>
    <w:rsid w:val="1DE54287"/>
    <w:rsid w:val="1EB2708E"/>
    <w:rsid w:val="21F31B70"/>
    <w:rsid w:val="22394DC0"/>
    <w:rsid w:val="2261677D"/>
    <w:rsid w:val="25EB7656"/>
    <w:rsid w:val="26455B2C"/>
    <w:rsid w:val="26C167B6"/>
    <w:rsid w:val="2884631A"/>
    <w:rsid w:val="28A67D37"/>
    <w:rsid w:val="29AF71E8"/>
    <w:rsid w:val="2A2B6CE0"/>
    <w:rsid w:val="2A807AE4"/>
    <w:rsid w:val="2C5C2FEC"/>
    <w:rsid w:val="2D202CAF"/>
    <w:rsid w:val="2D921625"/>
    <w:rsid w:val="2DD75F9C"/>
    <w:rsid w:val="2E464966"/>
    <w:rsid w:val="2E683C59"/>
    <w:rsid w:val="2E871184"/>
    <w:rsid w:val="2F5838B9"/>
    <w:rsid w:val="3007171F"/>
    <w:rsid w:val="328A418D"/>
    <w:rsid w:val="3346489F"/>
    <w:rsid w:val="34785525"/>
    <w:rsid w:val="36164F55"/>
    <w:rsid w:val="372F4478"/>
    <w:rsid w:val="3A10328B"/>
    <w:rsid w:val="3A622FD7"/>
    <w:rsid w:val="3C66551A"/>
    <w:rsid w:val="3D757E60"/>
    <w:rsid w:val="3DCE20FC"/>
    <w:rsid w:val="3E6A7347"/>
    <w:rsid w:val="40061999"/>
    <w:rsid w:val="41766342"/>
    <w:rsid w:val="4195149B"/>
    <w:rsid w:val="41B96EC5"/>
    <w:rsid w:val="42272596"/>
    <w:rsid w:val="46A8131D"/>
    <w:rsid w:val="46DB4C8A"/>
    <w:rsid w:val="47117ED3"/>
    <w:rsid w:val="47B63C6D"/>
    <w:rsid w:val="4AA27C3D"/>
    <w:rsid w:val="4B1E335D"/>
    <w:rsid w:val="4B920C94"/>
    <w:rsid w:val="4CC9678E"/>
    <w:rsid w:val="4E2931CA"/>
    <w:rsid w:val="4E4D5343"/>
    <w:rsid w:val="4FAF0931"/>
    <w:rsid w:val="52F014E6"/>
    <w:rsid w:val="53AC779A"/>
    <w:rsid w:val="541B64BA"/>
    <w:rsid w:val="550F4C67"/>
    <w:rsid w:val="55633225"/>
    <w:rsid w:val="55855327"/>
    <w:rsid w:val="55A209EE"/>
    <w:rsid w:val="560918AE"/>
    <w:rsid w:val="5670596C"/>
    <w:rsid w:val="56864D16"/>
    <w:rsid w:val="575F74D4"/>
    <w:rsid w:val="58AA2F55"/>
    <w:rsid w:val="59316355"/>
    <w:rsid w:val="5A0D7524"/>
    <w:rsid w:val="5A624644"/>
    <w:rsid w:val="5B1248DB"/>
    <w:rsid w:val="5D52426E"/>
    <w:rsid w:val="5E19471E"/>
    <w:rsid w:val="5EC475D6"/>
    <w:rsid w:val="5EFC6FEB"/>
    <w:rsid w:val="60046178"/>
    <w:rsid w:val="61F5344E"/>
    <w:rsid w:val="62DF6110"/>
    <w:rsid w:val="667C7355"/>
    <w:rsid w:val="688D6724"/>
    <w:rsid w:val="6A13360C"/>
    <w:rsid w:val="6A1B0A0D"/>
    <w:rsid w:val="6B8B57B2"/>
    <w:rsid w:val="6BDC7C84"/>
    <w:rsid w:val="6CEC68F6"/>
    <w:rsid w:val="714F65D4"/>
    <w:rsid w:val="727805A8"/>
    <w:rsid w:val="738E1AE0"/>
    <w:rsid w:val="75307AD5"/>
    <w:rsid w:val="75FA3264"/>
    <w:rsid w:val="767543BB"/>
    <w:rsid w:val="773853D9"/>
    <w:rsid w:val="78D7305C"/>
    <w:rsid w:val="79951646"/>
    <w:rsid w:val="7B2569DF"/>
    <w:rsid w:val="7BBB337B"/>
    <w:rsid w:val="7C3B4CC2"/>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49"/>
    <w:unhideWhenUsed/>
    <w:qFormat/>
    <w:uiPriority w:val="99"/>
  </w:style>
  <w:style w:type="paragraph" w:styleId="16">
    <w:name w:val="Balloon Text"/>
    <w:basedOn w:val="1"/>
    <w:link w:val="47"/>
    <w:semiHidden/>
    <w:unhideWhenUsed/>
    <w:qFormat/>
    <w:uiPriority w:val="99"/>
    <w:rPr>
      <w:rFonts w:ascii="Cambria Math" w:hAnsi="Cambria Math" w:eastAsia="Cambria Math"/>
      <w:sz w:val="18"/>
      <w:szCs w:val="18"/>
    </w:rPr>
  </w:style>
  <w:style w:type="paragraph" w:styleId="17">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0"/>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1"/>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30">
    <w:name w:val="TAC Char"/>
    <w:link w:val="29"/>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9"/>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3"/>
    <w:qFormat/>
    <w:uiPriority w:val="0"/>
    <w:rPr>
      <w:rFonts w:ascii="Courier New" w:hAnsi="Courier New"/>
      <w:b/>
      <w:kern w:val="20"/>
      <w:sz w:val="16"/>
      <w:lang w:eastAsia="en-US" w:bidi="ar-SA"/>
    </w:rPr>
  </w:style>
  <w:style w:type="character" w:customStyle="1" w:styleId="47">
    <w:name w:val="批注框文本 字符"/>
    <w:link w:val="16"/>
    <w:semiHidden/>
    <w:qFormat/>
    <w:uiPriority w:val="99"/>
    <w:rPr>
      <w:rFonts w:ascii="Cambria Math" w:eastAsia="Cambria Math"/>
      <w:sz w:val="18"/>
      <w:szCs w:val="18"/>
    </w:rPr>
  </w:style>
  <w:style w:type="character" w:customStyle="1" w:styleId="48">
    <w:name w:val="页脚 字符"/>
    <w:link w:val="17"/>
    <w:qFormat/>
    <w:uiPriority w:val="99"/>
    <w:rPr>
      <w:sz w:val="18"/>
      <w:szCs w:val="18"/>
    </w:rPr>
  </w:style>
  <w:style w:type="character" w:customStyle="1" w:styleId="49">
    <w:name w:val="批注文字 字符"/>
    <w:basedOn w:val="23"/>
    <w:link w:val="15"/>
    <w:qFormat/>
    <w:uiPriority w:val="99"/>
  </w:style>
  <w:style w:type="character" w:customStyle="1" w:styleId="50">
    <w:name w:val="批注主题 字符"/>
    <w:link w:val="20"/>
    <w:semiHidden/>
    <w:qFormat/>
    <w:uiPriority w:val="99"/>
    <w:rPr>
      <w:b/>
      <w:bCs/>
    </w:rPr>
  </w:style>
  <w:style w:type="paragraph" w:customStyle="1" w:styleId="51">
    <w:name w:val="B1"/>
    <w:basedOn w:val="12"/>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paragraph" w:customStyle="1" w:styleId="58">
    <w:name w:val="TAL"/>
    <w:basedOn w:val="1"/>
    <w:link w:val="59"/>
    <w:qFormat/>
    <w:uiPriority w:val="0"/>
    <w:pPr>
      <w:keepNext/>
      <w:keepLines/>
    </w:pPr>
    <w:rPr>
      <w:rFonts w:ascii="Courier New" w:hAnsi="Courier New"/>
      <w:sz w:val="18"/>
      <w:szCs w:val="20"/>
      <w:lang w:val="en-GB" w:eastAsia="en-US"/>
    </w:rPr>
  </w:style>
  <w:style w:type="character" w:customStyle="1" w:styleId="59">
    <w:name w:val="TAL Car"/>
    <w:link w:val="58"/>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 w:type="paragraph" w:customStyle="1" w:styleId="89">
    <w:name w:val="B2"/>
    <w:basedOn w:val="1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8</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CMCC-shiyuan-0130</cp:lastModifiedBy>
  <dcterms:modified xsi:type="dcterms:W3CDTF">2024-02-19T09:05:31Z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